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B" w:rsidRPr="00301C49" w:rsidRDefault="001F3C04" w:rsidP="00C5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-180340</wp:posOffset>
            </wp:positionV>
            <wp:extent cx="2100580" cy="3130550"/>
            <wp:effectExtent l="19050" t="0" r="0" b="0"/>
            <wp:wrapSquare wrapText="bothSides"/>
            <wp:docPr id="13" name="Рисунок 13" descr="&amp;SHcy;&amp;kcy;&amp;ocy;&amp;lcy;&amp;softcy;&amp;ncy;&amp;icy;&amp;tscy;&amp;acy; &amp;scy; &amp;kcy;&amp;ncy;&amp;icy;&amp;gcy;&amp;acy;&amp;mcy;&amp;icy; &amp;vcy; &amp;ocy;&amp;bcy;&amp;ncy;&amp;icy;&amp;m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SHcy;&amp;kcy;&amp;ocy;&amp;lcy;&amp;softcy;&amp;ncy;&amp;icy;&amp;tscy;&amp;acy; &amp;scy; &amp;kcy;&amp;ncy;&amp;icy;&amp;gcy;&amp;acy;&amp;mcy;&amp;icy; &amp;vcy; &amp;ocy;&amp;bcy;&amp;ncy;&amp;icy;&amp;m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38FB" w:rsidRPr="00301C49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Поради</w:t>
      </w:r>
      <w:proofErr w:type="spellEnd"/>
      <w:r w:rsidR="00C538FB" w:rsidRPr="00301C49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 xml:space="preserve"> </w:t>
      </w:r>
      <w:proofErr w:type="spellStart"/>
      <w:r w:rsidR="00C538FB" w:rsidRPr="00301C49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мет</w:t>
      </w:r>
      <w:proofErr w:type="gramStart"/>
      <w:r w:rsidR="00C538FB" w:rsidRPr="00301C49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o</w:t>
      </w:r>
      <w:proofErr w:type="gramEnd"/>
      <w:r w:rsidR="00C538FB" w:rsidRPr="00301C49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диста</w:t>
      </w:r>
      <w:proofErr w:type="spellEnd"/>
    </w:p>
    <w:p w:rsidR="00C538FB" w:rsidRPr="00301C49" w:rsidRDefault="00C538FB" w:rsidP="00C538F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>П</w:t>
      </w:r>
      <w:proofErr w:type="gramEnd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>ідготовка</w:t>
      </w:r>
      <w:proofErr w:type="spellEnd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 xml:space="preserve"> </w:t>
      </w:r>
      <w:proofErr w:type="spellStart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>дитини</w:t>
      </w:r>
      <w:proofErr w:type="spellEnd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 xml:space="preserve"> до </w:t>
      </w:r>
      <w:proofErr w:type="spellStart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>шкільного</w:t>
      </w:r>
      <w:proofErr w:type="spellEnd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 xml:space="preserve"> </w:t>
      </w:r>
      <w:proofErr w:type="spellStart"/>
      <w:r w:rsidRPr="00301C49">
        <w:rPr>
          <w:rFonts w:ascii="Georgia" w:eastAsia="Times New Roman" w:hAnsi="Georgia" w:cs="Times New Roman"/>
          <w:b/>
          <w:bCs/>
          <w:i/>
          <w:iCs/>
          <w:color w:val="00B050"/>
          <w:sz w:val="36"/>
          <w:lang w:eastAsia="ru-RU"/>
        </w:rPr>
        <w:t>життя</w:t>
      </w:r>
      <w:proofErr w:type="spellEnd"/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рангу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ідсилюється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переконливо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Звідси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Говорячи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діагностувати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адекватного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Найпершим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дитини-дошкільника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Palatino Linotype" w:eastAsia="Times New Roman" w:hAnsi="Palatino Linotype" w:cs="Times New Roman"/>
          <w:sz w:val="28"/>
          <w:szCs w:val="28"/>
          <w:lang w:eastAsia="ru-RU"/>
        </w:rPr>
        <w:t>•</w:t>
      </w: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відгукнутися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співучастю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емпатії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афективно-пізнавальне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Palatino Linotype" w:eastAsia="Times New Roman" w:hAnsi="Palatino Linotype" w:cs="Times New Roman"/>
          <w:sz w:val="28"/>
          <w:szCs w:val="28"/>
          <w:lang w:eastAsia="ru-RU"/>
        </w:rPr>
        <w:t>•</w:t>
      </w: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Palatino Linotype" w:eastAsia="Times New Roman" w:hAnsi="Palatino Linotype" w:cs="Times New Roman"/>
          <w:sz w:val="28"/>
          <w:szCs w:val="28"/>
          <w:lang w:eastAsia="ru-RU"/>
        </w:rPr>
        <w:t>•</w:t>
      </w: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наочно-образного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Palatino Linotype" w:eastAsia="Times New Roman" w:hAnsi="Palatino Linotype" w:cs="Times New Roman"/>
          <w:sz w:val="28"/>
          <w:szCs w:val="28"/>
          <w:lang w:eastAsia="ru-RU"/>
        </w:rPr>
        <w:t>•</w:t>
      </w: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саморегуляція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Palatino Linotype" w:eastAsia="Times New Roman" w:hAnsi="Palatino Linotype" w:cs="Times New Roman"/>
          <w:sz w:val="28"/>
          <w:szCs w:val="28"/>
          <w:lang w:eastAsia="ru-RU"/>
        </w:rPr>
        <w:t>•</w:t>
      </w: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•</w:t>
      </w: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реальному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турбуючись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щораз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«прожила»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маніпулятивних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правилами,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Лева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Виготського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іднялися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вичерпує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правила, а «зоною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1F3C04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3246755</wp:posOffset>
            </wp:positionV>
            <wp:extent cx="2100580" cy="1440815"/>
            <wp:effectExtent l="19050" t="0" r="0" b="0"/>
            <wp:wrapSquare wrapText="bothSides"/>
            <wp:docPr id="2" name="Рисунок 10" descr="&amp;Fcy;&amp;ocy;&amp;tcy;&amp;ocy;&amp;kcy;&amp;ocy;&amp;mcy;&amp;pcy;&amp;ocy;&amp;zcy;&amp;icy;&amp;tscy;&amp;icy;&amp;yacy; &amp;scy; &amp;pcy;&amp;iecy;&amp;rcy;&amp;vcy;&amp;ocy;&amp;kcy;&amp;lcy;&amp;acy;&amp;scy;&amp;scy;&amp;ncy;&amp;i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Fcy;&amp;ocy;&amp;tcy;&amp;ocy;&amp;kcy;&amp;ocy;&amp;mcy;&amp;pcy;&amp;ocy;&amp;zcy;&amp;icy;&amp;tscy;&amp;icy;&amp;yacy; &amp;scy; &amp;pcy;&amp;iecy;&amp;rcy;&amp;vcy;&amp;ocy;&amp;kcy;&amp;lcy;&amp;acy;&amp;scy;&amp;scy;&amp;ncy;&amp;i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звана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прожила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закарбоване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чиновників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пересічних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поширенням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садків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формалізованої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регламентованої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за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подібне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навчанню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справедлива критика такого </w:t>
      </w:r>
      <w:proofErr w:type="spellStart"/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самоцінності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породжує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перекіс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систематичного,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вільною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імпровізованою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сенситивного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самовираження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Усе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врешті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передусім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саморегуляцію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характер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Georgia" w:eastAsia="Times New Roman" w:hAnsi="Georgia" w:cs="Times New Roman"/>
          <w:b/>
          <w:bCs/>
          <w:i/>
          <w:iCs/>
          <w:noProof/>
          <w:color w:val="00B0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-97155</wp:posOffset>
            </wp:positionV>
            <wp:extent cx="2100580" cy="1593215"/>
            <wp:effectExtent l="19050" t="0" r="0" b="0"/>
            <wp:wrapSquare wrapText="bothSides"/>
            <wp:docPr id="4" name="Рисунок 4" descr="&amp;SHcy;&amp;kcy;&amp;ocy;&amp;lcy;&amp;softcy;&amp;ncy;&amp;icy;&amp;tscy;&amp;acy; &amp;zcy;&amp;acy; &amp;scy;&amp;tcy;&amp;ocy;&amp;lcy;&amp;ocy;&amp;mcy; &amp;scy; &amp;fcy;&amp;lcy;&amp;ocy;&amp;mcy;&amp;acy;&amp;scy;&amp;tcy;&amp;iecy;&amp;r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Hcy;&amp;kcy;&amp;ocy;&amp;lcy;&amp;softcy;&amp;ncy;&amp;icy;&amp;tscy;&amp;acy; &amp;zcy;&amp;acy; &amp;scy;&amp;tcy;&amp;ocy;&amp;lcy;&amp;ocy;&amp;mcy; &amp;scy; &amp;fcy;&amp;lcy;&amp;ocy;&amp;mcy;&amp;acy;&amp;scy;&amp;tcy;&amp;iecy;&amp;r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C19E9">
        <w:rPr>
          <w:rFonts w:ascii="Georgia" w:eastAsia="Times New Roman" w:hAnsi="Georgia" w:cs="Times New Roman"/>
          <w:b/>
          <w:bCs/>
          <w:i/>
          <w:iCs/>
          <w:color w:val="00B050"/>
          <w:sz w:val="28"/>
          <w:szCs w:val="28"/>
          <w:lang w:eastAsia="ru-RU"/>
        </w:rPr>
        <w:t>Визначення</w:t>
      </w:r>
      <w:proofErr w:type="spellEnd"/>
      <w:r w:rsidRPr="003C19E9">
        <w:rPr>
          <w:rFonts w:ascii="Georgia" w:eastAsia="Times New Roman" w:hAnsi="Georgia" w:cs="Times New Roman"/>
          <w:i/>
          <w:iCs/>
          <w:color w:val="00B050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Georgia" w:eastAsia="Times New Roman" w:hAnsi="Georgia" w:cs="Times New Roman"/>
          <w:b/>
          <w:bCs/>
          <w:i/>
          <w:iCs/>
          <w:color w:val="00B050"/>
          <w:sz w:val="28"/>
          <w:szCs w:val="28"/>
          <w:lang w:eastAsia="ru-RU"/>
        </w:rPr>
        <w:t>параметрів</w:t>
      </w:r>
      <w:proofErr w:type="spellEnd"/>
      <w:r w:rsidRPr="003C19E9">
        <w:rPr>
          <w:rFonts w:ascii="Georgia" w:eastAsia="Times New Roman" w:hAnsi="Georgia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Georgia" w:eastAsia="Times New Roman" w:hAnsi="Georgia" w:cs="Times New Roman"/>
          <w:b/>
          <w:bCs/>
          <w:i/>
          <w:iCs/>
          <w:color w:val="00B050"/>
          <w:sz w:val="28"/>
          <w:szCs w:val="28"/>
          <w:lang w:eastAsia="ru-RU"/>
        </w:rPr>
        <w:t>дошкільної</w:t>
      </w:r>
      <w:proofErr w:type="spellEnd"/>
      <w:r w:rsidRPr="003C19E9">
        <w:rPr>
          <w:rFonts w:ascii="Georgia" w:eastAsia="Times New Roman" w:hAnsi="Georgia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Georgia" w:eastAsia="Times New Roman" w:hAnsi="Georgia" w:cs="Times New Roman"/>
          <w:b/>
          <w:bCs/>
          <w:i/>
          <w:iCs/>
          <w:color w:val="00B050"/>
          <w:sz w:val="28"/>
          <w:szCs w:val="28"/>
          <w:lang w:eastAsia="ru-RU"/>
        </w:rPr>
        <w:t>зрілості</w:t>
      </w:r>
      <w:proofErr w:type="spellEnd"/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ібниках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Щоправда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показниками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логікою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з'являються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садку.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відліку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 та план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Неабияку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незамінний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місточок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понятійним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допитливістю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особливого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оволодіває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сферою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будь-яка</w:t>
      </w:r>
      <w:proofErr w:type="spellEnd"/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ліплення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конструювання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 </w:t>
      </w:r>
    </w:p>
    <w:p w:rsidR="00C538FB" w:rsidRPr="003C19E9" w:rsidRDefault="001F3C04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339725</wp:posOffset>
            </wp:positionV>
            <wp:extent cx="2100580" cy="1398905"/>
            <wp:effectExtent l="19050" t="0" r="0" b="0"/>
            <wp:wrapSquare wrapText="bothSides"/>
            <wp:docPr id="7" name="Рисунок 7" descr="&amp;Mcy;&amp;acy;&amp;mcy;&amp;acy; &amp;scy; &amp;scy;&amp;ycy;&amp;ncy;&amp;ocy;&amp;mcy; &amp;dcy;&amp;iecy;&amp;lcy;&amp;acy;&amp;yucy;&amp;tcy; &amp;ucy;&amp;rcy;&amp;o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Mcy;&amp;acy;&amp;mcy;&amp;acy; &amp;scy; &amp;scy;&amp;ycy;&amp;ncy;&amp;ocy;&amp;mcy; &amp;dcy;&amp;iecy;&amp;lcy;&amp;acy;&amp;yucy;&amp;tcy; &amp;ucy;&amp;rcy;&amp;o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за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</w:t>
      </w:r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нього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У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підготовлена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учіння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само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ливої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="00C538FB"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на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початок нового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самопочуття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новому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зрештою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Цей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точного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Сама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провідною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регламентована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ідпорядкуватися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час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взаємин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нового статусу «я - школяр» - перший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FB" w:rsidRPr="003C19E9" w:rsidRDefault="00C538FB" w:rsidP="003C19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наголошував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пробудженні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саморуху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створених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 собою, 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для </w:t>
      </w:r>
      <w:proofErr w:type="spellStart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3C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E0E" w:rsidRPr="003C19E9" w:rsidRDefault="00105E0E" w:rsidP="003C19E9">
      <w:pPr>
        <w:jc w:val="both"/>
        <w:rPr>
          <w:sz w:val="28"/>
          <w:szCs w:val="28"/>
        </w:rPr>
      </w:pPr>
    </w:p>
    <w:sectPr w:rsidR="00105E0E" w:rsidRPr="003C19E9" w:rsidSect="0010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538FB"/>
    <w:rsid w:val="00105E0E"/>
    <w:rsid w:val="001F3C04"/>
    <w:rsid w:val="003C19E9"/>
    <w:rsid w:val="00700069"/>
    <w:rsid w:val="00C5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aaaa</cp:lastModifiedBy>
  <cp:revision>4</cp:revision>
  <dcterms:created xsi:type="dcterms:W3CDTF">2013-10-08T11:01:00Z</dcterms:created>
  <dcterms:modified xsi:type="dcterms:W3CDTF">2013-10-29T18:43:00Z</dcterms:modified>
</cp:coreProperties>
</file>