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C0" w:rsidRPr="00EF3937" w:rsidRDefault="00EB5DC0" w:rsidP="00852C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</w:rPr>
        <w:t>АГНОСТИКИ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ІВНЯ ПРОФЕСІЙНОЇ КОМПЕТЕНТНОСТІ ПЕДАГОГІВ</w:t>
      </w:r>
    </w:p>
    <w:p w:rsidR="00EB5DC0" w:rsidRDefault="00EB5DC0" w:rsidP="00EB5DC0">
      <w:pPr>
        <w:pStyle w:val="a5"/>
        <w:ind w:left="0"/>
        <w:jc w:val="center"/>
        <w:rPr>
          <w:b/>
          <w:bCs/>
          <w:lang w:val="uk-UA"/>
        </w:rPr>
      </w:pPr>
    </w:p>
    <w:p w:rsidR="00EB5DC0" w:rsidRPr="00E675F1" w:rsidRDefault="00EB5DC0" w:rsidP="00EB5DC0">
      <w:pPr>
        <w:pStyle w:val="a5"/>
        <w:ind w:left="0"/>
        <w:jc w:val="center"/>
        <w:rPr>
          <w:b/>
          <w:bCs/>
          <w:i/>
          <w:sz w:val="28"/>
          <w:szCs w:val="28"/>
        </w:rPr>
      </w:pPr>
      <w:r w:rsidRPr="00E675F1">
        <w:rPr>
          <w:b/>
          <w:bCs/>
          <w:i/>
          <w:sz w:val="28"/>
          <w:szCs w:val="28"/>
        </w:rPr>
        <w:t xml:space="preserve">Склад </w:t>
      </w:r>
      <w:proofErr w:type="spellStart"/>
      <w:r w:rsidRPr="00E675F1">
        <w:rPr>
          <w:b/>
          <w:bCs/>
          <w:i/>
          <w:sz w:val="28"/>
          <w:szCs w:val="28"/>
        </w:rPr>
        <w:t>педагогічного</w:t>
      </w:r>
      <w:proofErr w:type="spellEnd"/>
      <w:r w:rsidRPr="00E675F1">
        <w:rPr>
          <w:b/>
          <w:bCs/>
          <w:i/>
          <w:sz w:val="28"/>
          <w:szCs w:val="28"/>
        </w:rPr>
        <w:t xml:space="preserve"> </w:t>
      </w:r>
      <w:proofErr w:type="spellStart"/>
      <w:r w:rsidRPr="00E675F1">
        <w:rPr>
          <w:b/>
          <w:bCs/>
          <w:i/>
          <w:sz w:val="28"/>
          <w:szCs w:val="28"/>
        </w:rPr>
        <w:t>колективу</w:t>
      </w:r>
      <w:proofErr w:type="spellEnd"/>
      <w:r w:rsidRPr="00E675F1">
        <w:rPr>
          <w:b/>
          <w:bCs/>
          <w:i/>
          <w:sz w:val="28"/>
          <w:szCs w:val="28"/>
        </w:rPr>
        <w:t xml:space="preserve"> </w:t>
      </w:r>
      <w:proofErr w:type="spellStart"/>
      <w:r w:rsidRPr="00E675F1">
        <w:rPr>
          <w:b/>
          <w:bCs/>
          <w:i/>
          <w:sz w:val="28"/>
          <w:szCs w:val="28"/>
        </w:rPr>
        <w:t>відповідно</w:t>
      </w:r>
      <w:proofErr w:type="spellEnd"/>
      <w:r w:rsidRPr="00E675F1">
        <w:rPr>
          <w:b/>
          <w:bCs/>
          <w:i/>
          <w:sz w:val="28"/>
          <w:szCs w:val="28"/>
        </w:rPr>
        <w:t xml:space="preserve"> </w:t>
      </w:r>
      <w:proofErr w:type="gramStart"/>
      <w:r w:rsidRPr="00E675F1">
        <w:rPr>
          <w:b/>
          <w:bCs/>
          <w:i/>
          <w:sz w:val="28"/>
          <w:szCs w:val="28"/>
        </w:rPr>
        <w:t>до</w:t>
      </w:r>
      <w:proofErr w:type="gramEnd"/>
      <w:r w:rsidRPr="00E675F1">
        <w:rPr>
          <w:b/>
          <w:bCs/>
          <w:i/>
          <w:sz w:val="28"/>
          <w:szCs w:val="28"/>
        </w:rPr>
        <w:t xml:space="preserve"> стажу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562475" cy="2171700"/>
            <wp:effectExtent l="38100" t="19050" r="9525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РЕЗУЛЬТАТИ ДІАГНОСТИКИ РІВНЯ ПРОФЕСІЙНОЇ КОМПЕТЕНТНОСТІ ПЕДАГОГІВ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Pr="000B52F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2F0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Підсумки порівняльного вивчення орієнтованості педагогів</w:t>
      </w:r>
    </w:p>
    <w:p w:rsidR="00EB5DC0" w:rsidRPr="000B52F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B52F0">
        <w:rPr>
          <w:rFonts w:ascii="Times New Roman" w:hAnsi="Times New Roman" w:cs="Times New Roman"/>
          <w:b/>
          <w:i/>
          <w:sz w:val="28"/>
          <w:szCs w:val="28"/>
          <w:lang w:val="uk-UA"/>
        </w:rPr>
        <w:t>щодо особистісної моделі взаємодії з дітьми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(кількість -23 педагога)</w:t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67310</wp:posOffset>
            </wp:positionV>
            <wp:extent cx="4305300" cy="2305050"/>
            <wp:effectExtent l="38100" t="19050" r="38100" b="19050"/>
            <wp:wrapSquare wrapText="bothSides"/>
            <wp:docPr id="21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ОЦІНКА ОСОБИСТІСНОЇ ПРОФЕСІЙНОЇ СПРЯМОВАНОСТІ ПЕДАГОГІВ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(кількість -23 педагога)</w:t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163195</wp:posOffset>
            </wp:positionV>
            <wp:extent cx="3486150" cy="2133600"/>
            <wp:effectExtent l="38100" t="19050" r="38100" b="19050"/>
            <wp:wrapSquare wrapText="bothSides"/>
            <wp:docPr id="23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Підсумки вивчення орієнтованості педагогів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на різні аспекти педагогічного процесу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(кількість -23 педагога)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173355</wp:posOffset>
            </wp:positionH>
            <wp:positionV relativeFrom="paragraph">
              <wp:posOffset>10160</wp:posOffset>
            </wp:positionV>
            <wp:extent cx="4572000" cy="2314575"/>
            <wp:effectExtent l="19050" t="0" r="19050" b="0"/>
            <wp:wrapSquare wrapText="bothSides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ПІДСУМКИ ВИВЧЕННЯ ОСОБИСТІСНОГО РОЗВИТКУ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(кількість -23 педагога)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85090</wp:posOffset>
            </wp:positionV>
            <wp:extent cx="3352800" cy="1066800"/>
            <wp:effectExtent l="38100" t="19050" r="38100" b="19050"/>
            <wp:wrapSquare wrapText="bothSides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РІВЕНЬ СФОРМОВАНОСТІ ЗАГАЛЬНИХ ТВОРЧИХ 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ЗДІБНОСТЕЙ ПЕДАГОГІВ(кількість -23 педагога)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43180</wp:posOffset>
            </wp:positionV>
            <wp:extent cx="3867150" cy="1590675"/>
            <wp:effectExtent l="38100" t="19050" r="38100" b="9525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Pr="009F717E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17E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Підвищення теоретичного рівня та фахової підготовки педагогів</w:t>
      </w:r>
    </w:p>
    <w:p w:rsidR="00EB5DC0" w:rsidRPr="009F717E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F717E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тязі 2014-2015н.р.(кількість -23 педагога</w:t>
      </w:r>
      <w:r w:rsidRPr="009F717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158115</wp:posOffset>
            </wp:positionV>
            <wp:extent cx="4267200" cy="2066925"/>
            <wp:effectExtent l="38100" t="19050" r="38100" b="9525"/>
            <wp:wrapSquare wrapText="bothSides"/>
            <wp:docPr id="31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2</w:t>
      </w:r>
    </w:p>
    <w:p w:rsidR="00EB5DC0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Pr="00140714" w:rsidRDefault="00EB5DC0" w:rsidP="00EB5DC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40714">
        <w:rPr>
          <w:rFonts w:ascii="Times New Roman" w:hAnsi="Times New Roman" w:cs="Times New Roman"/>
          <w:b/>
          <w:i/>
          <w:sz w:val="24"/>
          <w:szCs w:val="24"/>
          <w:lang w:val="uk-UA"/>
        </w:rPr>
        <w:t>ЯКІСНИЙ СКЛАД ПЕДАГОГІЧНИХ КАДРІВ</w:t>
      </w: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Pr="00EE16D0" w:rsidRDefault="00EB5DC0" w:rsidP="00EB5DC0">
      <w:pPr>
        <w:pStyle w:val="a3"/>
        <w:spacing w:line="360" w:lineRule="auto"/>
        <w:jc w:val="left"/>
        <w:rPr>
          <w:rFonts w:ascii="Times New Roman" w:hAnsi="Times New Roman"/>
          <w:iCs/>
          <w:color w:val="000000"/>
          <w:sz w:val="24"/>
          <w:szCs w:val="24"/>
        </w:rPr>
      </w:pPr>
      <w:r w:rsidRPr="004B5CFA">
        <w:rPr>
          <w:rFonts w:ascii="Times New Roman" w:hAnsi="Times New Roman"/>
          <w:iCs/>
          <w:color w:val="000000"/>
          <w:sz w:val="24"/>
          <w:szCs w:val="24"/>
        </w:rPr>
        <w:t>Кваліфікаційний рівень педагогів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1553"/>
        <w:gridCol w:w="1431"/>
        <w:gridCol w:w="1269"/>
        <w:gridCol w:w="1269"/>
        <w:gridCol w:w="1269"/>
        <w:gridCol w:w="1269"/>
      </w:tblGrid>
      <w:tr w:rsidR="00EB5DC0" w:rsidRPr="004B5CFA" w:rsidTr="00EB5DC0">
        <w:tc>
          <w:tcPr>
            <w:tcW w:w="1511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Всього педагогічних</w:t>
            </w:r>
          </w:p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працівників</w:t>
            </w:r>
          </w:p>
        </w:tc>
        <w:tc>
          <w:tcPr>
            <w:tcW w:w="1553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Звання «Вихователь-методист»</w:t>
            </w:r>
          </w:p>
        </w:tc>
        <w:tc>
          <w:tcPr>
            <w:tcW w:w="1431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Звання «Старший вихователь»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Спеціаліст вищої категорії 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Спеціаліст І категорії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Спеціаліст   ІІ категорії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B5CF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Спеціаліст</w:t>
            </w:r>
          </w:p>
        </w:tc>
      </w:tr>
      <w:tr w:rsidR="00EB5DC0" w:rsidRPr="004B5CFA" w:rsidTr="00EB5DC0">
        <w:tc>
          <w:tcPr>
            <w:tcW w:w="1511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3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</w:tcPr>
          <w:p w:rsidR="00EB5DC0" w:rsidRPr="004B5CFA" w:rsidRDefault="00EB5DC0" w:rsidP="00B8349C">
            <w:pPr>
              <w:pStyle w:val="a3"/>
              <w:spacing w:line="36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18</w:t>
            </w:r>
          </w:p>
        </w:tc>
      </w:tr>
    </w:tbl>
    <w:tbl>
      <w:tblPr>
        <w:tblpPr w:leftFromText="180" w:rightFromText="180" w:vertAnchor="text" w:horzAnchor="margin" w:tblpY="2477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134"/>
        <w:gridCol w:w="850"/>
        <w:gridCol w:w="993"/>
        <w:gridCol w:w="708"/>
        <w:gridCol w:w="709"/>
        <w:gridCol w:w="851"/>
        <w:gridCol w:w="850"/>
        <w:gridCol w:w="851"/>
        <w:gridCol w:w="851"/>
        <w:gridCol w:w="108"/>
        <w:gridCol w:w="600"/>
      </w:tblGrid>
      <w:tr w:rsidR="00EB5DC0" w:rsidRPr="0080594C" w:rsidTr="00EB5DC0">
        <w:trPr>
          <w:trHeight w:val="405"/>
        </w:trPr>
        <w:tc>
          <w:tcPr>
            <w:tcW w:w="1559" w:type="dxa"/>
            <w:vMerge w:val="restart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2433D2">
              <w:rPr>
                <w:rFonts w:ascii="Times New Roman" w:hAnsi="Times New Roman"/>
                <w:lang w:val="uk-UA"/>
              </w:rPr>
              <w:t>сього педагогічних працівників</w:t>
            </w:r>
          </w:p>
        </w:tc>
        <w:tc>
          <w:tcPr>
            <w:tcW w:w="1134" w:type="dxa"/>
            <w:vMerge w:val="restart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з них жінок</w:t>
            </w:r>
          </w:p>
        </w:tc>
        <w:tc>
          <w:tcPr>
            <w:tcW w:w="850" w:type="dxa"/>
            <w:vMerge w:val="restart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6521" w:type="dxa"/>
            <w:gridSpan w:val="9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за освітнім рівнем</w:t>
            </w:r>
          </w:p>
        </w:tc>
      </w:tr>
      <w:tr w:rsidR="00EB5DC0" w:rsidRPr="00C92E9E" w:rsidTr="00EB5DC0">
        <w:trPr>
          <w:trHeight w:val="1151"/>
        </w:trPr>
        <w:tc>
          <w:tcPr>
            <w:tcW w:w="1559" w:type="dxa"/>
            <w:vMerge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708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709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бакалавр</w:t>
            </w:r>
          </w:p>
        </w:tc>
        <w:tc>
          <w:tcPr>
            <w:tcW w:w="851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850" w:type="dxa"/>
            <w:vAlign w:val="center"/>
          </w:tcPr>
          <w:p w:rsidR="00EB5DC0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 xml:space="preserve"> Спеці</w:t>
            </w: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433D2">
              <w:rPr>
                <w:rFonts w:ascii="Times New Roman" w:hAnsi="Times New Roman"/>
                <w:lang w:val="uk-UA"/>
              </w:rPr>
              <w:t>аліст</w:t>
            </w:r>
            <w:proofErr w:type="spellEnd"/>
          </w:p>
        </w:tc>
        <w:tc>
          <w:tcPr>
            <w:tcW w:w="851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%</w:t>
            </w:r>
          </w:p>
        </w:tc>
        <w:tc>
          <w:tcPr>
            <w:tcW w:w="851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Неповна вища</w:t>
            </w:r>
          </w:p>
        </w:tc>
        <w:tc>
          <w:tcPr>
            <w:tcW w:w="708" w:type="dxa"/>
            <w:gridSpan w:val="2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33D2">
              <w:rPr>
                <w:rFonts w:ascii="Times New Roman" w:hAnsi="Times New Roman"/>
                <w:lang w:val="uk-UA"/>
              </w:rPr>
              <w:t>%</w:t>
            </w:r>
          </w:p>
        </w:tc>
      </w:tr>
      <w:tr w:rsidR="00EB5DC0" w:rsidRPr="00C92E9E" w:rsidTr="00EB5DC0">
        <w:trPr>
          <w:trHeight w:val="186"/>
        </w:trPr>
        <w:tc>
          <w:tcPr>
            <w:tcW w:w="1559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50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993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708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51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59" w:type="dxa"/>
            <w:gridSpan w:val="2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600" w:type="dxa"/>
            <w:vAlign w:val="center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</w:tr>
      <w:tr w:rsidR="00EB5DC0" w:rsidRPr="00C92E9E" w:rsidTr="00EB5DC0">
        <w:trPr>
          <w:trHeight w:val="824"/>
        </w:trPr>
        <w:tc>
          <w:tcPr>
            <w:tcW w:w="1559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</w:t>
            </w:r>
          </w:p>
        </w:tc>
        <w:tc>
          <w:tcPr>
            <w:tcW w:w="1134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23</w:t>
            </w:r>
          </w:p>
        </w:tc>
        <w:tc>
          <w:tcPr>
            <w:tcW w:w="850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uk-UA"/>
              </w:rPr>
              <w:t>100</w:t>
            </w:r>
          </w:p>
        </w:tc>
        <w:tc>
          <w:tcPr>
            <w:tcW w:w="993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uk-UA"/>
              </w:rPr>
              <w:t>15</w:t>
            </w:r>
          </w:p>
        </w:tc>
        <w:tc>
          <w:tcPr>
            <w:tcW w:w="708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en-US"/>
              </w:rPr>
              <w:t>5</w:t>
            </w:r>
            <w:proofErr w:type="spellStart"/>
            <w:r w:rsidRPr="002433D2">
              <w:rPr>
                <w:b/>
                <w:i/>
                <w:lang w:val="uk-UA"/>
              </w:rPr>
              <w:t>5</w:t>
            </w:r>
            <w:proofErr w:type="spellEnd"/>
          </w:p>
        </w:tc>
        <w:tc>
          <w:tcPr>
            <w:tcW w:w="709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-</w:t>
            </w:r>
          </w:p>
        </w:tc>
        <w:tc>
          <w:tcPr>
            <w:tcW w:w="851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uk-UA"/>
              </w:rPr>
              <w:t>11</w:t>
            </w:r>
          </w:p>
        </w:tc>
        <w:tc>
          <w:tcPr>
            <w:tcW w:w="850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uk-UA"/>
              </w:rPr>
              <w:t>9</w:t>
            </w:r>
          </w:p>
        </w:tc>
        <w:tc>
          <w:tcPr>
            <w:tcW w:w="851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  <w:r w:rsidRPr="002433D2">
              <w:rPr>
                <w:b/>
                <w:i/>
                <w:lang w:val="en-US"/>
              </w:rPr>
              <w:t>3</w:t>
            </w:r>
            <w:r w:rsidRPr="002433D2">
              <w:rPr>
                <w:b/>
                <w:i/>
                <w:lang w:val="uk-UA"/>
              </w:rPr>
              <w:t>4</w:t>
            </w:r>
          </w:p>
        </w:tc>
        <w:tc>
          <w:tcPr>
            <w:tcW w:w="959" w:type="dxa"/>
            <w:gridSpan w:val="2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600" w:type="dxa"/>
          </w:tcPr>
          <w:p w:rsidR="00EB5DC0" w:rsidRPr="002433D2" w:rsidRDefault="00EB5DC0" w:rsidP="00EB5DC0">
            <w:pPr>
              <w:spacing w:after="0" w:line="240" w:lineRule="auto"/>
              <w:jc w:val="center"/>
              <w:rPr>
                <w:b/>
                <w:i/>
                <w:lang w:val="uk-UA"/>
              </w:rPr>
            </w:pPr>
          </w:p>
        </w:tc>
      </w:tr>
    </w:tbl>
    <w:p w:rsidR="00EB5DC0" w:rsidRDefault="00EB5DC0" w:rsidP="00EB5DC0">
      <w:pPr>
        <w:pStyle w:val="a3"/>
        <w:spacing w:line="360" w:lineRule="auto"/>
        <w:jc w:val="left"/>
        <w:rPr>
          <w:rFonts w:ascii="Times New Roman" w:hAnsi="Times New Roman"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color w:val="000000"/>
          <w:sz w:val="24"/>
          <w:szCs w:val="24"/>
          <w:lang w:val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4598035</wp:posOffset>
            </wp:positionV>
            <wp:extent cx="5871845" cy="2005330"/>
            <wp:effectExtent l="57150" t="38100" r="33655" b="13970"/>
            <wp:wrapSquare wrapText="bothSides"/>
            <wp:docPr id="6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B5DC0" w:rsidRDefault="00EB5DC0" w:rsidP="00EB5DC0">
      <w:pPr>
        <w:pStyle w:val="a3"/>
        <w:spacing w:line="360" w:lineRule="auto"/>
        <w:jc w:val="left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EB5DC0" w:rsidRPr="00B83943" w:rsidRDefault="00EB5DC0" w:rsidP="00EB5DC0">
      <w:pPr>
        <w:pStyle w:val="a3"/>
        <w:spacing w:line="360" w:lineRule="auto"/>
        <w:jc w:val="left"/>
        <w:rPr>
          <w:rFonts w:ascii="Times New Roman" w:hAnsi="Times New Roman"/>
          <w:iCs/>
          <w:color w:val="000000"/>
          <w:sz w:val="24"/>
          <w:szCs w:val="24"/>
          <w:lang w:val="ru-RU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Pr="00936F64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t>Освітній рівень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педагогічних працівників в 2014-2015</w:t>
      </w: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t>н.р. по ККДНЗ № 207</w:t>
      </w: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303530</wp:posOffset>
            </wp:positionH>
            <wp:positionV relativeFrom="paragraph">
              <wp:posOffset>69850</wp:posOffset>
            </wp:positionV>
            <wp:extent cx="4364990" cy="1845310"/>
            <wp:effectExtent l="57150" t="0" r="35560" b="40640"/>
            <wp:wrapSquare wrapText="bothSides"/>
            <wp:docPr id="6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jc w:val="center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rPr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Pr="006E3D02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80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801"/>
        <w:gridCol w:w="556"/>
        <w:gridCol w:w="864"/>
        <w:gridCol w:w="542"/>
        <w:gridCol w:w="832"/>
        <w:gridCol w:w="478"/>
        <w:gridCol w:w="883"/>
        <w:gridCol w:w="560"/>
        <w:gridCol w:w="1371"/>
        <w:gridCol w:w="1326"/>
      </w:tblGrid>
      <w:tr w:rsidR="00EB5DC0" w:rsidRPr="00C92E9E" w:rsidTr="00EB5DC0">
        <w:trPr>
          <w:trHeight w:val="405"/>
        </w:trPr>
        <w:tc>
          <w:tcPr>
            <w:tcW w:w="1561" w:type="dxa"/>
            <w:vMerge w:val="restart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сього педагогічних працівників</w:t>
            </w:r>
          </w:p>
        </w:tc>
        <w:tc>
          <w:tcPr>
            <w:tcW w:w="8213" w:type="dxa"/>
            <w:gridSpan w:val="10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за стажем роботи</w:t>
            </w:r>
          </w:p>
        </w:tc>
      </w:tr>
      <w:tr w:rsidR="00EB5DC0" w:rsidRPr="00C92E9E" w:rsidTr="00EB5DC0">
        <w:trPr>
          <w:trHeight w:val="615"/>
        </w:trPr>
        <w:tc>
          <w:tcPr>
            <w:tcW w:w="1561" w:type="dxa"/>
            <w:vMerge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до 3-х років</w:t>
            </w:r>
          </w:p>
        </w:tc>
        <w:tc>
          <w:tcPr>
            <w:tcW w:w="55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64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3-х </w:t>
            </w:r>
          </w:p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до 10 років</w:t>
            </w:r>
          </w:p>
        </w:tc>
        <w:tc>
          <w:tcPr>
            <w:tcW w:w="54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3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від 10- до 20 років</w:t>
            </w:r>
          </w:p>
        </w:tc>
        <w:tc>
          <w:tcPr>
            <w:tcW w:w="478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883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понад 20 років</w:t>
            </w:r>
          </w:p>
        </w:tc>
        <w:tc>
          <w:tcPr>
            <w:tcW w:w="560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37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пенсіонери</w:t>
            </w:r>
          </w:p>
        </w:tc>
        <w:tc>
          <w:tcPr>
            <w:tcW w:w="132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EB5DC0" w:rsidRPr="00C92E9E" w:rsidTr="00EB5DC0">
        <w:trPr>
          <w:trHeight w:val="186"/>
        </w:trPr>
        <w:tc>
          <w:tcPr>
            <w:tcW w:w="156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64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4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3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78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83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0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37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32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2E9E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</w:tr>
      <w:tr w:rsidR="00EB5DC0" w:rsidRPr="00C92E9E" w:rsidTr="00EB5DC0">
        <w:trPr>
          <w:trHeight w:val="604"/>
        </w:trPr>
        <w:tc>
          <w:tcPr>
            <w:tcW w:w="156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80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6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64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42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32" w:type="dxa"/>
          </w:tcPr>
          <w:p w:rsidR="00EB5DC0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78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3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60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37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26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Start"/>
            <w:r w:rsidRPr="00CE39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proofErr w:type="spellEnd"/>
          </w:p>
        </w:tc>
      </w:tr>
    </w:tbl>
    <w:p w:rsidR="00EB5DC0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Pr="00936F64" w:rsidRDefault="00EB5DC0" w:rsidP="00EB5DC0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36F64">
        <w:rPr>
          <w:rFonts w:ascii="Times New Roman" w:hAnsi="Times New Roman" w:cs="Times New Roman"/>
          <w:b/>
          <w:sz w:val="24"/>
          <w:szCs w:val="24"/>
        </w:rPr>
        <w:t>Кадрове</w:t>
      </w:r>
      <w:proofErr w:type="spellEnd"/>
      <w:r w:rsidRPr="00936F64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proofErr w:type="spellStart"/>
      <w:r w:rsidRPr="00936F64">
        <w:rPr>
          <w:rFonts w:ascii="Times New Roman" w:hAnsi="Times New Roman" w:cs="Times New Roman"/>
          <w:b/>
          <w:sz w:val="24"/>
          <w:szCs w:val="24"/>
        </w:rPr>
        <w:t>езпеченн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я закладу  в 2014-2015</w:t>
      </w: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t>н.р.</w:t>
      </w:r>
    </w:p>
    <w:p w:rsidR="00EB5DC0" w:rsidRDefault="00EB5DC0" w:rsidP="00EB5DC0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EB5DC0" w:rsidRDefault="00EB5DC0" w:rsidP="00EB5DC0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EB5DC0" w:rsidRDefault="00EB5DC0" w:rsidP="00EB5DC0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EB5DC0" w:rsidRDefault="00EB5DC0" w:rsidP="00EB5DC0">
      <w:pPr>
        <w:spacing w:after="0" w:line="240" w:lineRule="auto"/>
        <w:rPr>
          <w:b/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111760</wp:posOffset>
            </wp:positionV>
            <wp:extent cx="4105275" cy="2047875"/>
            <wp:effectExtent l="57150" t="19050" r="47625" b="28575"/>
            <wp:wrapSquare wrapText="bothSides"/>
            <wp:docPr id="6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B5DC0" w:rsidRDefault="00EB5DC0" w:rsidP="00EB5DC0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B5DC0" w:rsidRPr="00470329" w:rsidRDefault="00EB5DC0" w:rsidP="00EB5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Кваліфікаційний рівень педагогічних працівникі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станом на 01.09.2015</w:t>
      </w:r>
      <w:r w:rsidRPr="00936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</w:p>
    <w:p w:rsidR="00EB5DC0" w:rsidRDefault="00EB5DC0" w:rsidP="00EB5DC0">
      <w:pPr>
        <w:pStyle w:val="4"/>
        <w:rPr>
          <w:sz w:val="24"/>
          <w:lang w:val="uk-UA"/>
        </w:rPr>
      </w:pPr>
    </w:p>
    <w:p w:rsidR="00EB5DC0" w:rsidRDefault="00EB5DC0" w:rsidP="00EB5DC0">
      <w:pPr>
        <w:pStyle w:val="4"/>
        <w:rPr>
          <w:sz w:val="24"/>
          <w:lang w:val="uk-UA"/>
        </w:rPr>
      </w:pPr>
      <w:r>
        <w:rPr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75565</wp:posOffset>
            </wp:positionV>
            <wp:extent cx="5057775" cy="1476375"/>
            <wp:effectExtent l="38100" t="19050" r="28575" b="9525"/>
            <wp:wrapSquare wrapText="bothSides"/>
            <wp:docPr id="7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EB5DC0" w:rsidRDefault="00EB5DC0" w:rsidP="00EB5DC0">
      <w:pPr>
        <w:pStyle w:val="4"/>
        <w:rPr>
          <w:sz w:val="24"/>
          <w:lang w:val="uk-UA"/>
        </w:rPr>
      </w:pPr>
    </w:p>
    <w:p w:rsidR="00EB5DC0" w:rsidRDefault="00EB5DC0" w:rsidP="00EB5DC0">
      <w:pPr>
        <w:pStyle w:val="4"/>
        <w:rPr>
          <w:sz w:val="24"/>
          <w:lang w:val="uk-UA"/>
        </w:rPr>
      </w:pPr>
    </w:p>
    <w:p w:rsidR="00EB5DC0" w:rsidRDefault="00EB5DC0" w:rsidP="00EB5DC0">
      <w:pPr>
        <w:rPr>
          <w:rFonts w:ascii="Times New Roman" w:eastAsia="Times New Roman" w:hAnsi="Times New Roman" w:cs="Times New Roman"/>
          <w:b/>
          <w:bCs/>
          <w:sz w:val="24"/>
          <w:szCs w:val="28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5832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1"/>
        <w:gridCol w:w="852"/>
        <w:gridCol w:w="1301"/>
        <w:gridCol w:w="562"/>
        <w:gridCol w:w="1287"/>
        <w:gridCol w:w="486"/>
        <w:gridCol w:w="1259"/>
        <w:gridCol w:w="587"/>
        <w:gridCol w:w="771"/>
        <w:gridCol w:w="708"/>
      </w:tblGrid>
      <w:tr w:rsidR="00EB5DC0" w:rsidRPr="00C92E9E" w:rsidTr="00EB5DC0">
        <w:trPr>
          <w:trHeight w:val="405"/>
        </w:trPr>
        <w:tc>
          <w:tcPr>
            <w:tcW w:w="1561" w:type="dxa"/>
            <w:vMerge w:val="restart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сього педагогічних працівників</w:t>
            </w:r>
          </w:p>
        </w:tc>
        <w:tc>
          <w:tcPr>
            <w:tcW w:w="852" w:type="dxa"/>
            <w:vMerge w:val="restart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вища освіта</w:t>
            </w:r>
          </w:p>
        </w:tc>
        <w:tc>
          <w:tcPr>
            <w:tcW w:w="6961" w:type="dxa"/>
            <w:gridSpan w:val="8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за кваліфікаційним рівнем</w:t>
            </w:r>
          </w:p>
        </w:tc>
      </w:tr>
      <w:tr w:rsidR="00EB5DC0" w:rsidRPr="00C92E9E" w:rsidTr="00EB5DC0">
        <w:trPr>
          <w:trHeight w:val="615"/>
        </w:trPr>
        <w:tc>
          <w:tcPr>
            <w:tcW w:w="1561" w:type="dxa"/>
            <w:vMerge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56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87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першої категорії</w:t>
            </w:r>
          </w:p>
        </w:tc>
        <w:tc>
          <w:tcPr>
            <w:tcW w:w="48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259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другої категорії</w:t>
            </w:r>
          </w:p>
        </w:tc>
        <w:tc>
          <w:tcPr>
            <w:tcW w:w="587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77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708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E9E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EB5DC0" w:rsidRPr="00C92E9E" w:rsidTr="00EB5DC0">
        <w:trPr>
          <w:trHeight w:val="186"/>
        </w:trPr>
        <w:tc>
          <w:tcPr>
            <w:tcW w:w="156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30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2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287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86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59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87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71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" w:type="dxa"/>
            <w:vAlign w:val="center"/>
          </w:tcPr>
          <w:p w:rsidR="00EB5DC0" w:rsidRPr="00C92E9E" w:rsidRDefault="00EB5DC0" w:rsidP="00EB5D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</w:tr>
      <w:tr w:rsidR="00EB5DC0" w:rsidRPr="00CE39E9" w:rsidTr="00EB5DC0">
        <w:tc>
          <w:tcPr>
            <w:tcW w:w="156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25</w:t>
            </w:r>
          </w:p>
        </w:tc>
        <w:tc>
          <w:tcPr>
            <w:tcW w:w="852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30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62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5,5</w:t>
            </w:r>
          </w:p>
        </w:tc>
        <w:tc>
          <w:tcPr>
            <w:tcW w:w="1287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86" w:type="dxa"/>
          </w:tcPr>
          <w:p w:rsidR="00EB5DC0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259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587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5,5</w:t>
            </w:r>
          </w:p>
        </w:tc>
        <w:tc>
          <w:tcPr>
            <w:tcW w:w="771" w:type="dxa"/>
          </w:tcPr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EB5DC0" w:rsidRPr="00CE39E9" w:rsidRDefault="00EB5DC0" w:rsidP="00EB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CE39E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708" w:type="dxa"/>
          </w:tcPr>
          <w:p w:rsidR="00EB5DC0" w:rsidRPr="00CE39E9" w:rsidRDefault="00EB5DC0" w:rsidP="00EB5D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EB5DC0" w:rsidRPr="00CE39E9" w:rsidRDefault="00EB5DC0" w:rsidP="00EB5DC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84</w:t>
            </w:r>
          </w:p>
        </w:tc>
      </w:tr>
    </w:tbl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B5DC0" w:rsidRDefault="00EB5DC0" w:rsidP="00EB5DC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982C3D" w:rsidRDefault="00982C3D"/>
    <w:sectPr w:rsidR="0098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B5DC0"/>
    <w:rsid w:val="00852CCE"/>
    <w:rsid w:val="00982C3D"/>
    <w:rsid w:val="00EB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EB5D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5DC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EB5DC0"/>
    <w:pPr>
      <w:spacing w:after="0" w:line="240" w:lineRule="auto"/>
      <w:jc w:val="center"/>
    </w:pPr>
    <w:rPr>
      <w:rFonts w:ascii="Comic Sans MS" w:eastAsia="Times New Roman" w:hAnsi="Comic Sans MS" w:cs="Times New Roman"/>
      <w:b/>
      <w:kern w:val="28"/>
      <w:sz w:val="32"/>
      <w:szCs w:val="20"/>
      <w:lang w:val="uk-UA"/>
    </w:rPr>
  </w:style>
  <w:style w:type="character" w:customStyle="1" w:styleId="a4">
    <w:name w:val="Название Знак"/>
    <w:basedOn w:val="a0"/>
    <w:link w:val="a3"/>
    <w:rsid w:val="00EB5DC0"/>
    <w:rPr>
      <w:rFonts w:ascii="Comic Sans MS" w:eastAsia="Times New Roman" w:hAnsi="Comic Sans MS" w:cs="Times New Roman"/>
      <w:b/>
      <w:kern w:val="28"/>
      <w:sz w:val="32"/>
      <w:szCs w:val="20"/>
      <w:lang w:val="uk-UA"/>
    </w:rPr>
  </w:style>
  <w:style w:type="paragraph" w:styleId="a5">
    <w:name w:val="Body Text Indent"/>
    <w:basedOn w:val="a"/>
    <w:link w:val="a6"/>
    <w:uiPriority w:val="99"/>
    <w:unhideWhenUsed/>
    <w:rsid w:val="00EB5D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B5DC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B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Лист1!$A$2:$A$7</c:f>
              <c:strCache>
                <c:ptCount val="5"/>
                <c:pt idx="0">
                  <c:v>До 3років</c:v>
                </c:pt>
                <c:pt idx="1">
                  <c:v>від 3до 8років</c:v>
                </c:pt>
                <c:pt idx="2">
                  <c:v>від 3 до 13 років</c:v>
                </c:pt>
                <c:pt idx="3">
                  <c:v>від 13 до 18 років</c:v>
                </c:pt>
                <c:pt idx="4">
                  <c:v>Понад 18 років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solidFill>
      <a:schemeClr val="accent4">
        <a:lumMod val="20000"/>
        <a:lumOff val="80000"/>
      </a:schemeClr>
    </a:solidFill>
    <a:ln w="38100"/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dPt>
          <c:dLbls>
            <c:showCatName val="1"/>
            <c:showPercent val="1"/>
          </c:dLbls>
          <c:cat>
            <c:strRef>
              <c:f>Лист1!$A$2:$A$7</c:f>
              <c:strCache>
                <c:ptCount val="6"/>
                <c:pt idx="1">
                  <c:v>До 3-х років</c:v>
                </c:pt>
                <c:pt idx="2">
                  <c:v>Від 3-х до 10 р.</c:v>
                </c:pt>
                <c:pt idx="3">
                  <c:v>Понад 20р.</c:v>
                </c:pt>
                <c:pt idx="4">
                  <c:v>Пенсіонери </c:v>
                </c:pt>
                <c:pt idx="5">
                  <c:v>від10 до 20років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3</c:v>
                </c:pt>
                <c:pt idx="2">
                  <c:v>3</c:v>
                </c:pt>
                <c:pt idx="3">
                  <c:v>11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rgbClr val="FFC000"/>
    </a:solidFill>
    <a:ln w="57150" cap="flat" cmpd="sng" algn="ctr">
      <a:solidFill>
        <a:srgbClr val="00206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Всього педагогічних працівників</c:v>
                </c:pt>
                <c:pt idx="1">
                  <c:v>вища освіта</c:v>
                </c:pt>
                <c:pt idx="2">
                  <c:v>Спеціаліст вищої категорії</c:v>
                </c:pt>
                <c:pt idx="3">
                  <c:v>Спеціаліст другої категорії</c:v>
                </c:pt>
                <c:pt idx="4">
                  <c:v>Спеціаліст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17</c:v>
                </c:pt>
                <c:pt idx="2">
                  <c:v>2</c:v>
                </c:pt>
                <c:pt idx="3">
                  <c:v>2</c:v>
                </c:pt>
                <c:pt idx="4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Всього педагогічних працівників</c:v>
                </c:pt>
                <c:pt idx="1">
                  <c:v>вища освіта</c:v>
                </c:pt>
                <c:pt idx="2">
                  <c:v>Спеціаліст вищої категорії</c:v>
                </c:pt>
                <c:pt idx="3">
                  <c:v>Спеціаліст другої категорії</c:v>
                </c:pt>
                <c:pt idx="4">
                  <c:v>Спеціаліст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</c:dLbls>
          <c:cat>
            <c:strRef>
              <c:f>Лист1!$A$2:$A$6</c:f>
              <c:strCache>
                <c:ptCount val="5"/>
                <c:pt idx="0">
                  <c:v>Всього педагогічних працівників</c:v>
                </c:pt>
                <c:pt idx="1">
                  <c:v>вища освіта</c:v>
                </c:pt>
                <c:pt idx="2">
                  <c:v>Спеціаліст вищої категорії</c:v>
                </c:pt>
                <c:pt idx="3">
                  <c:v>Спеціаліст другої категорії</c:v>
                </c:pt>
                <c:pt idx="4">
                  <c:v>Спеціаліст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gapWidth val="95"/>
        <c:secondPieSize val="75"/>
        <c:serLines/>
      </c:ofPieChart>
    </c:plotArea>
    <c:legend>
      <c:legendPos val="t"/>
      <c:spPr>
        <a:solidFill>
          <a:srgbClr val="FFFF00"/>
        </a:solidFill>
        <a:ln w="57150"/>
      </c:spPr>
    </c:legend>
    <c:plotVisOnly val="1"/>
  </c:chart>
  <c:spPr>
    <a:solidFill>
      <a:srgbClr val="FF0000"/>
    </a:solidFill>
    <a:ln w="57150"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Виражена орієнтація щодо особистісної моделі</c:v>
                </c:pt>
                <c:pt idx="1">
                  <c:v>примірна орієнтація щодо особистісної моделі</c:v>
                </c:pt>
                <c:pt idx="2">
                  <c:v>примірна орієнтація щодо навчально-дисциплінарної моделі</c:v>
                </c:pt>
                <c:pt idx="3">
                  <c:v>виражена орієнтація щодо навчально-дисциплінарної моделі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spPr>
    <a:solidFill>
      <a:schemeClr val="accent2">
        <a:lumMod val="20000"/>
        <a:lumOff val="80000"/>
      </a:schemeClr>
    </a:solidFill>
    <a:ln w="57150">
      <a:solidFill>
        <a:srgbClr val="0070C0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середній бал</c:v>
                </c:pt>
              </c:strCache>
            </c:strRef>
          </c:tx>
          <c:explosion val="14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22</c:v>
                </c:pt>
                <c:pt idx="2">
                  <c:v>22</c:v>
                </c:pt>
                <c:pt idx="3">
                  <c:v>16</c:v>
                </c:pt>
                <c:pt idx="4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Лист1!$A$2:$A$6</c:f>
              <c:strCache>
                <c:ptCount val="5"/>
                <c:pt idx="0">
                  <c:v>товарискість</c:v>
                </c:pt>
                <c:pt idx="1">
                  <c:v>організованість</c:v>
                </c:pt>
                <c:pt idx="2">
                  <c:v>спрямованість на спеціальність</c:v>
                </c:pt>
                <c:pt idx="3">
                  <c:v>мотивація схвалення (щирість)</c:v>
                </c:pt>
                <c:pt idx="4">
                  <c:v>інтелігентність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spPr>
    <a:solidFill>
      <a:schemeClr val="accent2">
        <a:lumMod val="20000"/>
        <a:lumOff val="80000"/>
      </a:schemeClr>
    </a:solidFill>
    <a:ln w="57150">
      <a:solidFill>
        <a:srgbClr val="FFC000"/>
      </a:solidFill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1230050403312145"/>
          <c:y val="2.0753662525235212E-2"/>
          <c:w val="0.76423852003394366"/>
          <c:h val="0.5050087337191726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 бал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на свою особистість</c:v>
                </c:pt>
                <c:pt idx="1">
                  <c:v>на організаційно-педагогічну дію адміністрації</c:v>
                </c:pt>
                <c:pt idx="2">
                  <c:v>на взаємодію та вплив колег</c:v>
                </c:pt>
                <c:pt idx="3">
                  <c:v>на батьків вихованців групи</c:v>
                </c:pt>
                <c:pt idx="4">
                  <c:v>на технологію навчання й виховання</c:v>
                </c:pt>
                <c:pt idx="5">
                  <c:v>на співпрацю з дітьми в педагогічному процесі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marker val="1"/>
        <c:axId val="89812352"/>
        <c:axId val="140524160"/>
      </c:lineChart>
      <c:catAx>
        <c:axId val="89812352"/>
        <c:scaling>
          <c:orientation val="minMax"/>
        </c:scaling>
        <c:axPos val="b"/>
        <c:majorGridlines/>
        <c:minorGridlines/>
        <c:majorTickMark val="none"/>
        <c:tickLblPos val="nextTo"/>
        <c:crossAx val="140524160"/>
        <c:crosses val="autoZero"/>
        <c:auto val="1"/>
        <c:lblAlgn val="ctr"/>
        <c:lblOffset val="100"/>
      </c:catAx>
      <c:valAx>
        <c:axId val="1405241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981235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 w="57150">
          <a:solidFill>
            <a:srgbClr val="FF0000"/>
          </a:solidFill>
        </a:ln>
      </c:spPr>
    </c:plotArea>
    <c:plotVisOnly val="1"/>
  </c:chart>
  <c:spPr>
    <a:solidFill>
      <a:schemeClr val="bg2">
        <a:lumMod val="90000"/>
      </a:schemeClr>
    </a:solidFill>
    <a:ln>
      <a:solidFill>
        <a:srgbClr val="FF0000"/>
      </a:solidFill>
      <a:prstDash val="lgDashDotDot"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педагогів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рівень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Лист1!$A$2:$A$5</c:f>
              <c:strCache>
                <c:ptCount val="3"/>
                <c:pt idx="0">
                  <c:v>активний</c:v>
                </c:pt>
                <c:pt idx="1">
                  <c:v>ситуативний</c:v>
                </c:pt>
                <c:pt idx="2">
                  <c:v>припинений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accent3">
        <a:lumMod val="20000"/>
        <a:lumOff val="80000"/>
      </a:schemeClr>
    </a:solidFill>
    <a:ln w="57150">
      <a:solidFill>
        <a:srgbClr val="0070C0"/>
      </a:solidFill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5"/>
      <c:perspective val="0"/>
    </c:view3D>
    <c:plotArea>
      <c:layout>
        <c:manualLayout>
          <c:layoutTarget val="inner"/>
          <c:xMode val="edge"/>
          <c:yMode val="edge"/>
          <c:x val="3.7693706891289792E-2"/>
          <c:y val="0.24274612732232725"/>
          <c:w val="0.80678312885307968"/>
          <c:h val="0.59348103545880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педагогів</c:v>
                </c:pt>
              </c:strCache>
            </c:strRef>
          </c:tx>
          <c:spPr>
            <a:ln w="28575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</c:numCache>
            </c:numRef>
          </c:val>
          <c:bubble3D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bubble3D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>
              <a:noFill/>
            </a:ln>
          </c:spPr>
          <c:explosion val="25"/>
          <c:dLbls>
            <c:showPercent val="1"/>
          </c:dLbls>
          <c:cat>
            <c:strRef>
              <c:f>Лист1!$A$2:$A$5</c:f>
              <c:strCache>
                <c:ptCount val="4"/>
                <c:pt idx="0">
                  <c:v>Середній</c:v>
                </c:pt>
                <c:pt idx="1">
                  <c:v>низький</c:v>
                </c:pt>
                <c:pt idx="2">
                  <c:v>Дуже високий</c:v>
                </c:pt>
                <c:pt idx="3">
                  <c:v>високий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bubble3D val="1"/>
        </c:ser>
        <c:dLbls>
          <c:showPercent val="1"/>
        </c:dLbls>
      </c:pie3DChart>
    </c:plotArea>
    <c:legend>
      <c:legendPos val="t"/>
      <c:txPr>
        <a:bodyPr/>
        <a:lstStyle/>
        <a:p>
          <a:pPr rtl="0">
            <a:defRPr/>
          </a:pPr>
          <a:endParaRPr lang="ru-RU"/>
        </a:p>
      </c:txPr>
    </c:legend>
    <c:plotVisOnly val="1"/>
  </c:chart>
  <c:spPr>
    <a:solidFill>
      <a:schemeClr val="tx2">
        <a:lumMod val="20000"/>
        <a:lumOff val="80000"/>
      </a:schemeClr>
    </a:solidFill>
    <a:ln w="57150">
      <a:solidFill>
        <a:srgbClr val="FFFF00"/>
      </a:solidFill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8</c:v>
                </c:pt>
                <c:pt idx="2">
                  <c:v>12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дуже високий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низький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середній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семінари</c:v>
                </c:pt>
                <c:pt idx="1">
                  <c:v>семінари-практикуми</c:v>
                </c:pt>
                <c:pt idx="2">
                  <c:v>педради</c:v>
                </c:pt>
                <c:pt idx="3">
                  <c:v>консультації</c:v>
                </c:pt>
                <c:pt idx="4">
                  <c:v>відкриті покази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10</c:v>
                </c:pt>
                <c:pt idx="2">
                  <c:v>5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axId val="179654656"/>
        <c:axId val="179656192"/>
      </c:barChart>
      <c:catAx>
        <c:axId val="179654656"/>
        <c:scaling>
          <c:orientation val="minMax"/>
        </c:scaling>
        <c:axPos val="b"/>
        <c:majorTickMark val="none"/>
        <c:tickLblPos val="nextTo"/>
        <c:crossAx val="179656192"/>
        <c:crosses val="autoZero"/>
        <c:auto val="1"/>
        <c:lblAlgn val="ctr"/>
        <c:lblOffset val="100"/>
      </c:catAx>
      <c:valAx>
        <c:axId val="179656192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one"/>
        <c:crossAx val="179654656"/>
        <c:crosses val="autoZero"/>
        <c:crossBetween val="between"/>
        <c:dispUnits>
          <c:builtInUnit val="billions"/>
        </c:dispUnits>
      </c:valAx>
      <c:dTable>
        <c:showHorzBorder val="1"/>
        <c:showVertBorder val="1"/>
        <c:showOutline val="1"/>
        <c:showKeys val="1"/>
      </c:dTable>
    </c:plotArea>
    <c:plotVisOnly val="1"/>
  </c:chart>
  <c:spPr>
    <a:solidFill>
      <a:schemeClr val="accent6">
        <a:lumMod val="20000"/>
        <a:lumOff val="80000"/>
      </a:schemeClr>
    </a:solidFill>
    <a:ln w="57150">
      <a:solidFill>
        <a:srgbClr val="7030A0"/>
      </a:solidFill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1060467049785465E-2"/>
          <c:y val="0.14627738364387621"/>
          <c:w val="0.82962994236983834"/>
          <c:h val="0.707445232712247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</c:v>
                </c:pt>
              </c:strCache>
            </c:strRef>
          </c:tx>
          <c:explosion val="25"/>
          <c:dLbls>
            <c:showCatName val="1"/>
            <c:showPercent val="1"/>
          </c:dLbls>
          <c:cat>
            <c:strRef>
              <c:f>Лист1!$A$2:$A$7</c:f>
              <c:strCache>
                <c:ptCount val="6"/>
                <c:pt idx="0">
                  <c:v>Звання "Вихователь-методист"</c:v>
                </c:pt>
                <c:pt idx="1">
                  <c:v>Звання "Старший вихователь"</c:v>
                </c:pt>
                <c:pt idx="2">
                  <c:v>Спеціаліст вищої категорії </c:v>
                </c:pt>
                <c:pt idx="3">
                  <c:v>Спеціаліст І категорії</c:v>
                </c:pt>
                <c:pt idx="4">
                  <c:v>Спеціаліст ІІ категорії</c:v>
                </c:pt>
                <c:pt idx="5">
                  <c:v>Спеціалісти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3</c:v>
                </c:pt>
                <c:pt idx="5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solidFill>
      <a:schemeClr val="accent6">
        <a:lumMod val="20000"/>
        <a:lumOff val="80000"/>
      </a:schemeClr>
    </a:solidFill>
    <a:ln w="76200">
      <a:solidFill>
        <a:srgbClr val="0070C0"/>
      </a:solidFill>
    </a:ln>
    <a:scene3d>
      <a:camera prst="orthographicFront"/>
      <a:lightRig rig="threePt" dir="t"/>
    </a:scene3d>
    <a:sp3d>
      <a:bevelT/>
    </a:sp3d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pPr>
              <a:solidFill>
                <a:srgbClr val="FFFF00"/>
              </a:solidFill>
              <a:ln>
                <a:solidFill>
                  <a:srgbClr val="FF0000"/>
                </a:solidFill>
              </a:ln>
            </c:sp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Всього педагогічних працівників</c:v>
                </c:pt>
                <c:pt idx="1">
                  <c:v>жінок</c:v>
                </c:pt>
                <c:pt idx="2">
                  <c:v>вища</c:v>
                </c:pt>
                <c:pt idx="3">
                  <c:v>бакалавр</c:v>
                </c:pt>
                <c:pt idx="4">
                  <c:v>спеціаліст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</c:v>
                </c:pt>
                <c:pt idx="1">
                  <c:v>27</c:v>
                </c:pt>
                <c:pt idx="2">
                  <c:v>14</c:v>
                </c:pt>
                <c:pt idx="3">
                  <c:v>3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299</Words>
  <Characters>1705</Characters>
  <Application>Microsoft Office Word</Application>
  <DocSecurity>0</DocSecurity>
  <Lines>14</Lines>
  <Paragraphs>3</Paragraphs>
  <ScaleCrop>false</ScaleCrop>
  <Company>Krokoz™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2016-01-18T19:53:00Z</dcterms:created>
  <dcterms:modified xsi:type="dcterms:W3CDTF">2016-01-18T19:56:00Z</dcterms:modified>
</cp:coreProperties>
</file>